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4E" w:rsidRDefault="0009548E">
      <w:pPr>
        <w:rPr>
          <w:lang w:val="en-IN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-1233170</wp:posOffset>
            </wp:positionV>
            <wp:extent cx="1894205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289" y="21462"/>
                <wp:lineTo x="2128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C4E" w:rsidRPr="00084C4E" w:rsidRDefault="00084C4E" w:rsidP="00084C4E">
      <w:pPr>
        <w:rPr>
          <w:lang w:val="en-IN"/>
        </w:rPr>
      </w:pPr>
    </w:p>
    <w:p w:rsidR="00377FBC" w:rsidRPr="0052452B" w:rsidRDefault="00377FBC" w:rsidP="00377FBC">
      <w:pPr>
        <w:jc w:val="center"/>
        <w:rPr>
          <w:rFonts w:eastAsiaTheme="minorHAnsi"/>
          <w:b/>
          <w:color w:val="000099"/>
          <w:sz w:val="28"/>
          <w:szCs w:val="28"/>
          <w:lang w:eastAsia="en-US"/>
        </w:rPr>
      </w:pPr>
      <w:proofErr w:type="gramStart"/>
      <w:r w:rsidRPr="0052452B">
        <w:rPr>
          <w:rFonts w:eastAsiaTheme="minorHAnsi"/>
          <w:b/>
          <w:color w:val="000099"/>
          <w:sz w:val="28"/>
          <w:szCs w:val="28"/>
          <w:lang w:eastAsia="en-US"/>
        </w:rPr>
        <w:t>Statement of Product Compliance regarding RoHS2 Directives.</w:t>
      </w:r>
      <w:proofErr w:type="gramEnd"/>
    </w:p>
    <w:p w:rsidR="00377FBC" w:rsidRDefault="00377FBC" w:rsidP="00377FBC">
      <w:pPr>
        <w:rPr>
          <w:rFonts w:eastAsiaTheme="minorHAnsi" w:cstheme="minorHAnsi"/>
          <w:b/>
          <w:sz w:val="20"/>
          <w:szCs w:val="20"/>
          <w:u w:val="single"/>
          <w:lang w:eastAsia="en-US"/>
        </w:rPr>
      </w:pPr>
    </w:p>
    <w:p w:rsidR="00377FBC" w:rsidRPr="0052452B" w:rsidRDefault="00377FBC" w:rsidP="00377FBC">
      <w:pPr>
        <w:rPr>
          <w:rFonts w:eastAsiaTheme="minorHAnsi" w:cstheme="minorHAnsi"/>
          <w:sz w:val="20"/>
          <w:szCs w:val="20"/>
          <w:lang w:eastAsia="en-US"/>
        </w:rPr>
      </w:pPr>
      <w:r w:rsidRPr="0052452B">
        <w:rPr>
          <w:rFonts w:eastAsiaTheme="minorHAnsi" w:cstheme="minorHAnsi"/>
          <w:b/>
          <w:sz w:val="20"/>
          <w:szCs w:val="20"/>
          <w:u w:val="single"/>
          <w:lang w:eastAsia="en-US"/>
        </w:rPr>
        <w:t>Compliance</w:t>
      </w:r>
      <w:r w:rsidRPr="0052452B">
        <w:rPr>
          <w:rFonts w:eastAsiaTheme="minorHAnsi" w:cstheme="minorHAnsi"/>
          <w:b/>
          <w:sz w:val="20"/>
          <w:szCs w:val="20"/>
          <w:lang w:eastAsia="en-US"/>
        </w:rPr>
        <w:t>:</w:t>
      </w:r>
      <w:r w:rsidRPr="0052452B">
        <w:rPr>
          <w:rFonts w:eastAsiaTheme="minorHAnsi" w:cstheme="minorHAnsi"/>
          <w:sz w:val="20"/>
          <w:szCs w:val="20"/>
          <w:lang w:eastAsia="en-US"/>
        </w:rPr>
        <w:t xml:space="preserve"> </w:t>
      </w:r>
      <w:r>
        <w:rPr>
          <w:rFonts w:eastAsiaTheme="minorHAnsi" w:cstheme="minorHAnsi"/>
          <w:sz w:val="20"/>
          <w:szCs w:val="20"/>
          <w:lang w:eastAsia="en-US"/>
        </w:rPr>
        <w:t xml:space="preserve">Intelligent </w:t>
      </w:r>
      <w:proofErr w:type="spellStart"/>
      <w:r>
        <w:rPr>
          <w:rFonts w:eastAsiaTheme="minorHAnsi" w:cstheme="minorHAnsi"/>
          <w:sz w:val="20"/>
          <w:szCs w:val="20"/>
          <w:lang w:eastAsia="en-US"/>
        </w:rPr>
        <w:t>Comms</w:t>
      </w:r>
      <w:proofErr w:type="spellEnd"/>
      <w:r w:rsidRPr="0052452B">
        <w:rPr>
          <w:rFonts w:eastAsiaTheme="minorHAnsi" w:cstheme="minorHAnsi"/>
          <w:sz w:val="20"/>
          <w:szCs w:val="20"/>
          <w:lang w:eastAsia="en-US"/>
        </w:rPr>
        <w:t xml:space="preserve"> has completed a comprehensive evaluation of its product range to ensure compliance with RoHS2 Directive 2011/65/EC regarding maximum concentration values for substances. As a result all products are manufactured using raw materials that do not contain any of the restricted substances referred to in Article 4(1) of the RoHS2 Directive 2011/65/EC at concentration levels in excess of those permitted under the RoHS2 Directive 2011/65/EC, or up to levels allowed in excess of these concentrations by the Annex to the RoHS2 Directive 2011/65/EC.  </w:t>
      </w:r>
    </w:p>
    <w:p w:rsidR="00377FBC" w:rsidRPr="0052452B" w:rsidRDefault="00377FBC" w:rsidP="00377FBC">
      <w:pPr>
        <w:rPr>
          <w:rFonts w:eastAsiaTheme="minorHAnsi" w:cstheme="minorHAnsi"/>
          <w:sz w:val="20"/>
          <w:szCs w:val="20"/>
          <w:lang w:eastAsia="en-US"/>
        </w:rPr>
      </w:pPr>
      <w:r w:rsidRPr="0052452B">
        <w:rPr>
          <w:rFonts w:eastAsiaTheme="minorHAnsi" w:cstheme="minorHAnsi"/>
          <w:b/>
          <w:sz w:val="20"/>
          <w:szCs w:val="20"/>
          <w:u w:val="single"/>
          <w:lang w:eastAsia="en-US"/>
        </w:rPr>
        <w:t>Non-Compliant</w:t>
      </w:r>
      <w:r w:rsidRPr="0052452B">
        <w:rPr>
          <w:rFonts w:eastAsiaTheme="minorHAnsi" w:cstheme="minorHAnsi"/>
          <w:b/>
          <w:sz w:val="20"/>
          <w:szCs w:val="20"/>
          <w:u w:val="single"/>
          <w:lang w:eastAsia="en-US"/>
        </w:rPr>
        <w:t xml:space="preserve"> Products</w:t>
      </w:r>
      <w:r w:rsidRPr="0052452B">
        <w:rPr>
          <w:rFonts w:eastAsiaTheme="minorHAnsi" w:cstheme="minorHAnsi"/>
          <w:b/>
          <w:sz w:val="20"/>
          <w:szCs w:val="20"/>
          <w:lang w:eastAsia="en-US"/>
        </w:rPr>
        <w:t>:</w:t>
      </w:r>
      <w:r w:rsidRPr="0052452B">
        <w:rPr>
          <w:rFonts w:eastAsiaTheme="minorHAnsi" w:cstheme="minorHAnsi"/>
          <w:sz w:val="20"/>
          <w:szCs w:val="20"/>
          <w:lang w:eastAsia="en-US"/>
        </w:rPr>
        <w:t xml:space="preserve"> </w:t>
      </w:r>
      <w:r>
        <w:rPr>
          <w:rFonts w:eastAsiaTheme="minorHAnsi" w:cstheme="minorHAnsi"/>
          <w:sz w:val="20"/>
          <w:szCs w:val="20"/>
          <w:lang w:eastAsia="en-US"/>
        </w:rPr>
        <w:t xml:space="preserve">Intelligent </w:t>
      </w:r>
      <w:proofErr w:type="spellStart"/>
      <w:r>
        <w:rPr>
          <w:rFonts w:eastAsiaTheme="minorHAnsi" w:cstheme="minorHAnsi"/>
          <w:sz w:val="20"/>
          <w:szCs w:val="20"/>
          <w:lang w:eastAsia="en-US"/>
        </w:rPr>
        <w:t>Comms</w:t>
      </w:r>
      <w:proofErr w:type="spellEnd"/>
      <w:r w:rsidRPr="0052452B">
        <w:rPr>
          <w:rFonts w:eastAsiaTheme="minorHAnsi" w:cstheme="minorHAnsi"/>
          <w:sz w:val="20"/>
          <w:szCs w:val="20"/>
          <w:lang w:eastAsia="en-US"/>
        </w:rPr>
        <w:t xml:space="preserve"> may produce </w:t>
      </w:r>
      <w:r w:rsidRPr="0052452B">
        <w:rPr>
          <w:rFonts w:eastAsiaTheme="minorHAnsi" w:cstheme="minorHAnsi"/>
          <w:sz w:val="20"/>
          <w:szCs w:val="20"/>
          <w:lang w:eastAsia="en-US"/>
        </w:rPr>
        <w:t>non-compliant</w:t>
      </w:r>
      <w:r w:rsidRPr="0052452B">
        <w:rPr>
          <w:rFonts w:eastAsiaTheme="minorHAnsi" w:cstheme="minorHAnsi"/>
          <w:sz w:val="20"/>
          <w:szCs w:val="20"/>
          <w:lang w:eastAsia="en-US"/>
        </w:rPr>
        <w:t xml:space="preserve"> products either in response to specific customer requests or market demand. Where these products are then made generally available they will be appropriately identified at the point of sale as </w:t>
      </w:r>
      <w:r w:rsidRPr="0052452B">
        <w:rPr>
          <w:rFonts w:eastAsiaTheme="minorHAnsi" w:cstheme="minorHAnsi"/>
          <w:sz w:val="20"/>
          <w:szCs w:val="20"/>
          <w:lang w:eastAsia="en-US"/>
        </w:rPr>
        <w:t>non-compliant</w:t>
      </w:r>
      <w:r w:rsidRPr="0052452B">
        <w:rPr>
          <w:rFonts w:eastAsiaTheme="minorHAnsi" w:cstheme="minorHAnsi"/>
          <w:sz w:val="20"/>
          <w:szCs w:val="20"/>
          <w:lang w:eastAsia="en-US"/>
        </w:rPr>
        <w:t xml:space="preserve"> with RoHS2 Directive 2011/65/EC.</w:t>
      </w:r>
      <w:r w:rsidRPr="00D83A93">
        <w:rPr>
          <w:rFonts w:eastAsiaTheme="minorHAnsi" w:cstheme="minorHAnsi"/>
          <w:sz w:val="20"/>
          <w:szCs w:val="20"/>
          <w:lang w:eastAsia="en-US"/>
        </w:rPr>
        <w:t xml:space="preserve"> </w:t>
      </w:r>
      <w:r w:rsidRPr="0052452B">
        <w:rPr>
          <w:rFonts w:eastAsiaTheme="minorHAnsi" w:cstheme="minorHAnsi"/>
          <w:sz w:val="20"/>
          <w:szCs w:val="20"/>
          <w:lang w:eastAsia="en-US"/>
        </w:rPr>
        <w:t xml:space="preserve">Third party products specified or free issued by customers shall not be covered by this statement of compliance and the obligation to ensure compliance will remain with the customer. </w:t>
      </w:r>
    </w:p>
    <w:p w:rsidR="00377FBC" w:rsidRPr="0052452B" w:rsidRDefault="00377FBC" w:rsidP="00377FBC">
      <w:pPr>
        <w:rPr>
          <w:rFonts w:eastAsiaTheme="minorHAnsi" w:cstheme="minorHAnsi"/>
          <w:sz w:val="20"/>
          <w:szCs w:val="20"/>
          <w:lang w:eastAsia="en-US"/>
        </w:rPr>
      </w:pPr>
      <w:r w:rsidRPr="0052452B">
        <w:rPr>
          <w:rFonts w:eastAsiaTheme="minorHAnsi" w:cstheme="minorHAnsi"/>
          <w:b/>
          <w:sz w:val="20"/>
          <w:szCs w:val="20"/>
          <w:u w:val="single"/>
          <w:lang w:eastAsia="en-US"/>
        </w:rPr>
        <w:t>Due Diligence</w:t>
      </w:r>
      <w:r w:rsidRPr="0052452B">
        <w:rPr>
          <w:rFonts w:eastAsiaTheme="minorHAnsi" w:cstheme="minorHAnsi"/>
          <w:b/>
          <w:sz w:val="20"/>
          <w:szCs w:val="20"/>
          <w:lang w:eastAsia="en-US"/>
        </w:rPr>
        <w:t>:</w:t>
      </w:r>
      <w:r w:rsidRPr="0052452B">
        <w:rPr>
          <w:rFonts w:eastAsiaTheme="minorHAnsi" w:cstheme="minorHAnsi"/>
          <w:sz w:val="20"/>
          <w:szCs w:val="20"/>
          <w:lang w:eastAsia="en-US"/>
        </w:rPr>
        <w:t xml:space="preserve"> </w:t>
      </w:r>
      <w:r>
        <w:rPr>
          <w:rFonts w:eastAsiaTheme="minorHAnsi" w:cstheme="minorHAnsi"/>
          <w:sz w:val="20"/>
          <w:szCs w:val="20"/>
          <w:lang w:eastAsia="en-US"/>
        </w:rPr>
        <w:t xml:space="preserve">Intelligent </w:t>
      </w:r>
      <w:proofErr w:type="spellStart"/>
      <w:r>
        <w:rPr>
          <w:rFonts w:eastAsiaTheme="minorHAnsi" w:cstheme="minorHAnsi"/>
          <w:sz w:val="20"/>
          <w:szCs w:val="20"/>
          <w:lang w:eastAsia="en-US"/>
        </w:rPr>
        <w:t>Comms</w:t>
      </w:r>
      <w:proofErr w:type="spellEnd"/>
      <w:r w:rsidRPr="0052452B">
        <w:rPr>
          <w:rFonts w:eastAsiaTheme="minorHAnsi" w:cstheme="minorHAnsi"/>
          <w:sz w:val="20"/>
          <w:szCs w:val="20"/>
          <w:lang w:eastAsia="en-US"/>
        </w:rPr>
        <w:t xml:space="preserve"> will make every appropriate effort to ensure compliance regarding maximum concentration values for substances as defined in RoHS2 Directive 2011/65/EC. However, companies that manufacture Electrical or Electronic Equipment are obliged to ensure compliance with RoHS2 Directive 2011/65/EC and must bear the responsibility of ensuring that their obligations regarding the appropriate laws and legislation are observed.</w:t>
      </w:r>
    </w:p>
    <w:p w:rsidR="00377FBC" w:rsidRDefault="00377FBC" w:rsidP="00377FBC">
      <w:pPr>
        <w:rPr>
          <w:rFonts w:eastAsiaTheme="minorHAnsi" w:cstheme="minorHAnsi"/>
          <w:sz w:val="20"/>
          <w:szCs w:val="20"/>
          <w:lang w:eastAsia="en-US"/>
        </w:rPr>
      </w:pPr>
      <w:r>
        <w:rPr>
          <w:rFonts w:eastAsiaTheme="minorHAnsi" w:cstheme="minorHAnsi"/>
          <w:sz w:val="20"/>
          <w:szCs w:val="20"/>
          <w:lang w:eastAsia="en-US"/>
        </w:rPr>
        <w:t xml:space="preserve">Intelligent </w:t>
      </w:r>
      <w:proofErr w:type="spellStart"/>
      <w:r>
        <w:rPr>
          <w:rFonts w:eastAsiaTheme="minorHAnsi" w:cstheme="minorHAnsi"/>
          <w:sz w:val="20"/>
          <w:szCs w:val="20"/>
          <w:lang w:eastAsia="en-US"/>
        </w:rPr>
        <w:t>Comms</w:t>
      </w:r>
      <w:proofErr w:type="spellEnd"/>
      <w:r w:rsidRPr="0052452B">
        <w:rPr>
          <w:rFonts w:eastAsiaTheme="minorHAnsi" w:cstheme="minorHAnsi"/>
          <w:sz w:val="20"/>
          <w:szCs w:val="20"/>
          <w:lang w:eastAsia="en-US"/>
        </w:rPr>
        <w:t xml:space="preserve"> makes no warranties, expressed or implied and assumes no third party liability in connection with any use of the information in its statements of compliance. </w:t>
      </w:r>
    </w:p>
    <w:p w:rsidR="00377FBC" w:rsidRPr="0052452B" w:rsidRDefault="00377FBC" w:rsidP="00377FBC">
      <w:pPr>
        <w:rPr>
          <w:rFonts w:eastAsiaTheme="minorHAnsi" w:cstheme="minorHAnsi"/>
          <w:sz w:val="20"/>
          <w:szCs w:val="20"/>
          <w:lang w:eastAsia="en-US"/>
        </w:rPr>
      </w:pPr>
    </w:p>
    <w:p w:rsidR="00377FBC" w:rsidRPr="00377FBC" w:rsidRDefault="00377FBC" w:rsidP="00377FBC">
      <w:pPr>
        <w:numPr>
          <w:ilvl w:val="0"/>
          <w:numId w:val="1"/>
        </w:numPr>
        <w:spacing w:before="100" w:beforeAutospacing="1" w:after="100" w:afterAutospacing="1" w:line="320" w:lineRule="atLeast"/>
        <w:jc w:val="both"/>
        <w:rPr>
          <w:rFonts w:eastAsia="Times New Roman" w:cstheme="minorHAnsi"/>
          <w:sz w:val="20"/>
          <w:szCs w:val="20"/>
          <w:lang w:eastAsia="en-GB"/>
        </w:rPr>
      </w:pPr>
      <w:r w:rsidRPr="00377FBC">
        <w:rPr>
          <w:rFonts w:eastAsia="Times New Roman" w:cstheme="minorHAnsi"/>
          <w:b/>
          <w:bCs/>
          <w:sz w:val="20"/>
          <w:szCs w:val="20"/>
          <w:lang w:eastAsia="en-GB"/>
        </w:rPr>
        <w:t>Lead (</w:t>
      </w:r>
      <w:proofErr w:type="spellStart"/>
      <w:r w:rsidRPr="00377FBC">
        <w:rPr>
          <w:rFonts w:eastAsia="Times New Roman" w:cstheme="minorHAnsi"/>
          <w:b/>
          <w:bCs/>
          <w:sz w:val="20"/>
          <w:szCs w:val="20"/>
          <w:lang w:eastAsia="en-GB"/>
        </w:rPr>
        <w:t>Pb</w:t>
      </w:r>
      <w:proofErr w:type="spellEnd"/>
      <w:r w:rsidRPr="00377FBC">
        <w:rPr>
          <w:rFonts w:eastAsia="Times New Roman" w:cstheme="minorHAnsi"/>
          <w:b/>
          <w:bCs/>
          <w:sz w:val="20"/>
          <w:szCs w:val="20"/>
          <w:lang w:eastAsia="en-GB"/>
        </w:rPr>
        <w:t>)</w:t>
      </w:r>
      <w:r w:rsidRPr="00377FBC">
        <w:rPr>
          <w:rFonts w:eastAsia="Times New Roman" w:cstheme="minorHAnsi"/>
          <w:sz w:val="20"/>
          <w:szCs w:val="20"/>
          <w:lang w:eastAsia="en-GB"/>
        </w:rPr>
        <w:t>: &lt; 1000 ppm</w:t>
      </w:r>
    </w:p>
    <w:p w:rsidR="00377FBC" w:rsidRPr="00377FBC" w:rsidRDefault="00377FBC" w:rsidP="00377FBC">
      <w:pPr>
        <w:numPr>
          <w:ilvl w:val="0"/>
          <w:numId w:val="1"/>
        </w:numPr>
        <w:spacing w:before="100" w:beforeAutospacing="1" w:after="100" w:afterAutospacing="1" w:line="320" w:lineRule="atLeast"/>
        <w:jc w:val="both"/>
        <w:rPr>
          <w:rFonts w:eastAsia="Times New Roman" w:cstheme="minorHAnsi"/>
          <w:sz w:val="20"/>
          <w:szCs w:val="20"/>
          <w:lang w:eastAsia="en-GB"/>
        </w:rPr>
      </w:pPr>
      <w:r w:rsidRPr="00377FBC">
        <w:rPr>
          <w:rFonts w:eastAsia="Times New Roman" w:cstheme="minorHAnsi"/>
          <w:b/>
          <w:bCs/>
          <w:sz w:val="20"/>
          <w:szCs w:val="20"/>
          <w:lang w:eastAsia="en-GB"/>
        </w:rPr>
        <w:t>Mercury (Hg)</w:t>
      </w:r>
      <w:r w:rsidRPr="00377FBC">
        <w:rPr>
          <w:rFonts w:eastAsia="Times New Roman" w:cstheme="minorHAnsi"/>
          <w:sz w:val="20"/>
          <w:szCs w:val="20"/>
          <w:lang w:eastAsia="en-GB"/>
        </w:rPr>
        <w:t>: &lt; 100 ppm</w:t>
      </w:r>
    </w:p>
    <w:p w:rsidR="00377FBC" w:rsidRPr="00377FBC" w:rsidRDefault="00377FBC" w:rsidP="00377FBC">
      <w:pPr>
        <w:numPr>
          <w:ilvl w:val="0"/>
          <w:numId w:val="1"/>
        </w:numPr>
        <w:spacing w:before="100" w:beforeAutospacing="1" w:after="100" w:afterAutospacing="1" w:line="320" w:lineRule="atLeast"/>
        <w:jc w:val="both"/>
        <w:rPr>
          <w:rFonts w:eastAsia="Times New Roman" w:cstheme="minorHAnsi"/>
          <w:sz w:val="20"/>
          <w:szCs w:val="20"/>
          <w:lang w:eastAsia="en-GB"/>
        </w:rPr>
      </w:pPr>
      <w:r w:rsidRPr="00377FBC">
        <w:rPr>
          <w:rFonts w:eastAsia="Times New Roman" w:cstheme="minorHAnsi"/>
          <w:b/>
          <w:bCs/>
          <w:sz w:val="20"/>
          <w:szCs w:val="20"/>
          <w:lang w:eastAsia="en-GB"/>
        </w:rPr>
        <w:t>Cadmium (Cd)</w:t>
      </w:r>
      <w:r w:rsidRPr="00377FBC">
        <w:rPr>
          <w:rFonts w:eastAsia="Times New Roman" w:cstheme="minorHAnsi"/>
          <w:sz w:val="20"/>
          <w:szCs w:val="20"/>
          <w:lang w:eastAsia="en-GB"/>
        </w:rPr>
        <w:t>: &lt; 100 ppm</w:t>
      </w:r>
    </w:p>
    <w:p w:rsidR="00377FBC" w:rsidRPr="00377FBC" w:rsidRDefault="00377FBC" w:rsidP="00377FBC">
      <w:pPr>
        <w:numPr>
          <w:ilvl w:val="0"/>
          <w:numId w:val="1"/>
        </w:numPr>
        <w:spacing w:before="100" w:beforeAutospacing="1" w:after="100" w:afterAutospacing="1" w:line="320" w:lineRule="atLeast"/>
        <w:jc w:val="both"/>
        <w:rPr>
          <w:rFonts w:eastAsia="Times New Roman" w:cstheme="minorHAnsi"/>
          <w:sz w:val="20"/>
          <w:szCs w:val="20"/>
          <w:lang w:eastAsia="en-GB"/>
        </w:rPr>
      </w:pPr>
      <w:r w:rsidRPr="00377FBC">
        <w:rPr>
          <w:rFonts w:eastAsia="Times New Roman" w:cstheme="minorHAnsi"/>
          <w:b/>
          <w:bCs/>
          <w:sz w:val="20"/>
          <w:szCs w:val="20"/>
          <w:lang w:eastAsia="en-GB"/>
        </w:rPr>
        <w:t>Hexavalent Chromium: (Cr VI)</w:t>
      </w:r>
      <w:r w:rsidRPr="00377FBC">
        <w:rPr>
          <w:rFonts w:eastAsia="Times New Roman" w:cstheme="minorHAnsi"/>
          <w:sz w:val="20"/>
          <w:szCs w:val="20"/>
          <w:lang w:eastAsia="en-GB"/>
        </w:rPr>
        <w:t xml:space="preserve"> &lt; 1000 ppm</w:t>
      </w:r>
    </w:p>
    <w:p w:rsidR="00377FBC" w:rsidRPr="00377FBC" w:rsidRDefault="00377FBC" w:rsidP="00377FBC">
      <w:pPr>
        <w:numPr>
          <w:ilvl w:val="0"/>
          <w:numId w:val="1"/>
        </w:numPr>
        <w:spacing w:before="100" w:beforeAutospacing="1" w:after="100" w:afterAutospacing="1" w:line="320" w:lineRule="atLeast"/>
        <w:jc w:val="both"/>
        <w:rPr>
          <w:rFonts w:eastAsia="Times New Roman" w:cstheme="minorHAnsi"/>
          <w:sz w:val="20"/>
          <w:szCs w:val="20"/>
          <w:lang w:eastAsia="en-GB"/>
        </w:rPr>
      </w:pPr>
      <w:proofErr w:type="spellStart"/>
      <w:r w:rsidRPr="00377FBC">
        <w:rPr>
          <w:rFonts w:eastAsia="Times New Roman" w:cstheme="minorHAnsi"/>
          <w:b/>
          <w:bCs/>
          <w:sz w:val="20"/>
          <w:szCs w:val="20"/>
          <w:lang w:eastAsia="en-GB"/>
        </w:rPr>
        <w:t>Polybrominated</w:t>
      </w:r>
      <w:proofErr w:type="spellEnd"/>
      <w:r w:rsidRPr="00377FBC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Biphenyls (PBB):</w:t>
      </w:r>
      <w:r w:rsidRPr="00377FBC">
        <w:rPr>
          <w:rFonts w:eastAsia="Times New Roman" w:cstheme="minorHAnsi"/>
          <w:sz w:val="20"/>
          <w:szCs w:val="20"/>
          <w:lang w:eastAsia="en-GB"/>
        </w:rPr>
        <w:t xml:space="preserve"> &lt; 1000 ppm</w:t>
      </w:r>
    </w:p>
    <w:p w:rsidR="00377FBC" w:rsidRPr="00377FBC" w:rsidRDefault="00377FBC" w:rsidP="00377FBC">
      <w:pPr>
        <w:numPr>
          <w:ilvl w:val="0"/>
          <w:numId w:val="1"/>
        </w:numPr>
        <w:spacing w:before="100" w:beforeAutospacing="1" w:after="100" w:afterAutospacing="1" w:line="320" w:lineRule="atLeast"/>
        <w:jc w:val="both"/>
        <w:rPr>
          <w:rFonts w:eastAsia="Times New Roman" w:cstheme="minorHAnsi"/>
          <w:sz w:val="20"/>
          <w:szCs w:val="20"/>
          <w:lang w:eastAsia="en-GB"/>
        </w:rPr>
      </w:pPr>
      <w:proofErr w:type="spellStart"/>
      <w:r w:rsidRPr="00377FBC">
        <w:rPr>
          <w:rFonts w:eastAsia="Times New Roman" w:cstheme="minorHAnsi"/>
          <w:b/>
          <w:bCs/>
          <w:sz w:val="20"/>
          <w:szCs w:val="20"/>
          <w:lang w:eastAsia="en-GB"/>
        </w:rPr>
        <w:t>Polybrominated</w:t>
      </w:r>
      <w:proofErr w:type="spellEnd"/>
      <w:r w:rsidRPr="00377FBC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Diphenyl Ethers (PBDE)</w:t>
      </w:r>
      <w:r w:rsidRPr="00377FBC">
        <w:rPr>
          <w:rFonts w:eastAsia="Times New Roman" w:cstheme="minorHAnsi"/>
          <w:sz w:val="20"/>
          <w:szCs w:val="20"/>
          <w:lang w:eastAsia="en-GB"/>
        </w:rPr>
        <w:t>: &lt; 1000 ppm</w:t>
      </w:r>
    </w:p>
    <w:p w:rsidR="00377FBC" w:rsidRPr="00377FBC" w:rsidRDefault="00377FBC" w:rsidP="00377FBC">
      <w:pPr>
        <w:numPr>
          <w:ilvl w:val="0"/>
          <w:numId w:val="1"/>
        </w:numPr>
        <w:spacing w:before="100" w:beforeAutospacing="1" w:after="100" w:afterAutospacing="1" w:line="320" w:lineRule="atLeast"/>
        <w:jc w:val="both"/>
        <w:rPr>
          <w:rFonts w:eastAsia="Times New Roman" w:cstheme="minorHAnsi"/>
          <w:sz w:val="20"/>
          <w:szCs w:val="20"/>
          <w:lang w:eastAsia="en-GB"/>
        </w:rPr>
      </w:pPr>
      <w:proofErr w:type="spellStart"/>
      <w:r w:rsidRPr="00377FBC">
        <w:rPr>
          <w:rFonts w:eastAsia="Times New Roman" w:cstheme="minorHAnsi"/>
          <w:b/>
          <w:bCs/>
          <w:sz w:val="20"/>
          <w:szCs w:val="20"/>
          <w:lang w:eastAsia="en-GB"/>
        </w:rPr>
        <w:t>Bis</w:t>
      </w:r>
      <w:proofErr w:type="spellEnd"/>
      <w:r w:rsidRPr="00377FBC">
        <w:rPr>
          <w:rFonts w:eastAsia="Times New Roman" w:cstheme="minorHAnsi"/>
          <w:b/>
          <w:bCs/>
          <w:sz w:val="20"/>
          <w:szCs w:val="20"/>
          <w:lang w:eastAsia="en-GB"/>
        </w:rPr>
        <w:t>(2-Ethylhexyl) phthalate (DEHP)</w:t>
      </w:r>
      <w:r w:rsidRPr="00377FBC">
        <w:rPr>
          <w:rFonts w:eastAsia="Times New Roman" w:cstheme="minorHAnsi"/>
          <w:sz w:val="20"/>
          <w:szCs w:val="20"/>
          <w:lang w:eastAsia="en-GB"/>
        </w:rPr>
        <w:t>: &lt; 1000 ppm</w:t>
      </w:r>
    </w:p>
    <w:p w:rsidR="00377FBC" w:rsidRPr="00377FBC" w:rsidRDefault="00377FBC" w:rsidP="00377FBC">
      <w:pPr>
        <w:numPr>
          <w:ilvl w:val="0"/>
          <w:numId w:val="1"/>
        </w:numPr>
        <w:spacing w:before="100" w:beforeAutospacing="1" w:after="100" w:afterAutospacing="1" w:line="320" w:lineRule="atLeast"/>
        <w:jc w:val="both"/>
        <w:rPr>
          <w:rFonts w:eastAsia="Times New Roman" w:cstheme="minorHAnsi"/>
          <w:sz w:val="20"/>
          <w:szCs w:val="20"/>
          <w:lang w:eastAsia="en-GB"/>
        </w:rPr>
      </w:pPr>
      <w:r w:rsidRPr="00377FBC">
        <w:rPr>
          <w:rFonts w:eastAsia="Times New Roman" w:cstheme="minorHAnsi"/>
          <w:b/>
          <w:bCs/>
          <w:sz w:val="20"/>
          <w:szCs w:val="20"/>
          <w:lang w:eastAsia="en-GB"/>
        </w:rPr>
        <w:t>Benzyl butyl phthalate (BBP)</w:t>
      </w:r>
      <w:r w:rsidRPr="00377FBC">
        <w:rPr>
          <w:rFonts w:eastAsia="Times New Roman" w:cstheme="minorHAnsi"/>
          <w:sz w:val="20"/>
          <w:szCs w:val="20"/>
          <w:lang w:eastAsia="en-GB"/>
        </w:rPr>
        <w:t>: &lt; 1000 ppm</w:t>
      </w:r>
    </w:p>
    <w:p w:rsidR="00377FBC" w:rsidRPr="00377FBC" w:rsidRDefault="00377FBC" w:rsidP="00377FBC">
      <w:pPr>
        <w:numPr>
          <w:ilvl w:val="0"/>
          <w:numId w:val="1"/>
        </w:numPr>
        <w:spacing w:before="100" w:beforeAutospacing="1" w:after="100" w:afterAutospacing="1" w:line="320" w:lineRule="atLeast"/>
        <w:jc w:val="both"/>
        <w:rPr>
          <w:rFonts w:eastAsia="Times New Roman" w:cstheme="minorHAnsi"/>
          <w:sz w:val="20"/>
          <w:szCs w:val="20"/>
          <w:lang w:eastAsia="en-GB"/>
        </w:rPr>
      </w:pPr>
      <w:proofErr w:type="spellStart"/>
      <w:r w:rsidRPr="00377FBC">
        <w:rPr>
          <w:rFonts w:eastAsia="Times New Roman" w:cstheme="minorHAnsi"/>
          <w:b/>
          <w:bCs/>
          <w:sz w:val="20"/>
          <w:szCs w:val="20"/>
          <w:lang w:eastAsia="en-GB"/>
        </w:rPr>
        <w:t>Dibutyl</w:t>
      </w:r>
      <w:proofErr w:type="spellEnd"/>
      <w:r w:rsidRPr="00377FBC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phthalate (DBP)</w:t>
      </w:r>
      <w:r w:rsidRPr="00377FBC">
        <w:rPr>
          <w:rFonts w:eastAsia="Times New Roman" w:cstheme="minorHAnsi"/>
          <w:sz w:val="20"/>
          <w:szCs w:val="20"/>
          <w:lang w:eastAsia="en-GB"/>
        </w:rPr>
        <w:t>: &lt; 1000 ppm</w:t>
      </w:r>
    </w:p>
    <w:p w:rsidR="00377FBC" w:rsidRPr="00377FBC" w:rsidRDefault="00377FBC" w:rsidP="00377FBC">
      <w:pPr>
        <w:numPr>
          <w:ilvl w:val="0"/>
          <w:numId w:val="1"/>
        </w:numPr>
        <w:spacing w:before="100" w:beforeAutospacing="1" w:after="100" w:afterAutospacing="1" w:line="320" w:lineRule="atLeast"/>
        <w:jc w:val="both"/>
        <w:rPr>
          <w:lang w:val="en-IN"/>
        </w:rPr>
      </w:pPr>
      <w:proofErr w:type="spellStart"/>
      <w:r w:rsidRPr="00377FBC">
        <w:rPr>
          <w:rFonts w:eastAsia="Times New Roman" w:cstheme="minorHAnsi"/>
          <w:b/>
          <w:bCs/>
          <w:sz w:val="20"/>
          <w:szCs w:val="20"/>
          <w:lang w:eastAsia="en-GB"/>
        </w:rPr>
        <w:t>Diisobutyl</w:t>
      </w:r>
      <w:proofErr w:type="spellEnd"/>
      <w:r w:rsidRPr="00377FBC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phthalate (DIBP)</w:t>
      </w:r>
      <w:r w:rsidRPr="00377FBC">
        <w:rPr>
          <w:rFonts w:eastAsia="Times New Roman" w:cstheme="minorHAnsi"/>
          <w:sz w:val="20"/>
          <w:szCs w:val="20"/>
          <w:lang w:eastAsia="en-GB"/>
        </w:rPr>
        <w:t>: &lt; 1000 ppm</w:t>
      </w:r>
    </w:p>
    <w:p w:rsidR="00377FBC" w:rsidRDefault="00377FBC" w:rsidP="00377FBC">
      <w:pPr>
        <w:spacing w:before="5"/>
        <w:rPr>
          <w:rFonts w:ascii="Minion Pro" w:eastAsia="Minion Pro" w:hAnsi="Minion Pro" w:cs="Minion Pro"/>
          <w:b/>
          <w:sz w:val="25"/>
          <w:szCs w:val="25"/>
        </w:rPr>
      </w:pPr>
      <w:r>
        <w:rPr>
          <w:rFonts w:ascii="Minion Pro" w:eastAsia="Minion Pro" w:hAnsi="Minion Pro" w:cs="Minion Pro"/>
          <w:noProof/>
          <w:sz w:val="25"/>
          <w:szCs w:val="25"/>
          <w:lang w:eastAsia="en-GB"/>
        </w:rPr>
        <w:drawing>
          <wp:anchor distT="0" distB="0" distL="114300" distR="114300" simplePos="0" relativeHeight="251660288" behindDoc="1" locked="0" layoutInCell="1" allowOverlap="1" wp14:anchorId="78C53A21" wp14:editId="4153F009">
            <wp:simplePos x="0" y="0"/>
            <wp:positionH relativeFrom="column">
              <wp:posOffset>962025</wp:posOffset>
            </wp:positionH>
            <wp:positionV relativeFrom="paragraph">
              <wp:posOffset>151130</wp:posOffset>
            </wp:positionV>
            <wp:extent cx="12573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273" y="21000"/>
                <wp:lineTo x="212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FBC" w:rsidRPr="00D83A93" w:rsidRDefault="00377FBC" w:rsidP="00377FBC">
      <w:pPr>
        <w:spacing w:before="5"/>
        <w:rPr>
          <w:rFonts w:ascii="Minion Pro" w:eastAsia="Minion Pro" w:hAnsi="Minion Pro" w:cs="Minion Pro"/>
          <w:sz w:val="25"/>
          <w:szCs w:val="25"/>
        </w:rPr>
      </w:pPr>
      <w:r w:rsidRPr="00BC2C21">
        <w:rPr>
          <w:rFonts w:ascii="Minion Pro" w:eastAsia="Minion Pro" w:hAnsi="Minion Pro" w:cs="Minion Pro"/>
          <w:b/>
          <w:sz w:val="25"/>
          <w:szCs w:val="25"/>
        </w:rPr>
        <w:t>SIGNED:</w:t>
      </w:r>
      <w:r>
        <w:rPr>
          <w:rFonts w:ascii="Minion Pro" w:eastAsia="Minion Pro" w:hAnsi="Minion Pro" w:cs="Minion Pro"/>
          <w:sz w:val="25"/>
          <w:szCs w:val="25"/>
        </w:rPr>
        <w:tab/>
      </w:r>
      <w:r>
        <w:rPr>
          <w:rFonts w:ascii="Minion Pro" w:eastAsia="Minion Pro" w:hAnsi="Minion Pro" w:cs="Minion Pro"/>
          <w:sz w:val="25"/>
          <w:szCs w:val="25"/>
        </w:rPr>
        <w:tab/>
      </w:r>
      <w:r>
        <w:rPr>
          <w:rFonts w:ascii="Minion Pro" w:eastAsia="Minion Pro" w:hAnsi="Minion Pro" w:cs="Minion Pro"/>
          <w:sz w:val="25"/>
          <w:szCs w:val="25"/>
        </w:rPr>
        <w:tab/>
      </w:r>
      <w:r>
        <w:rPr>
          <w:rFonts w:ascii="Minion Pro" w:eastAsia="Minion Pro" w:hAnsi="Minion Pro" w:cs="Minion Pro"/>
          <w:sz w:val="25"/>
          <w:szCs w:val="25"/>
        </w:rPr>
        <w:tab/>
      </w:r>
      <w:r w:rsidRPr="00BC2C21">
        <w:rPr>
          <w:rFonts w:ascii="Minion Pro" w:eastAsia="Minion Pro" w:hAnsi="Minion Pro" w:cs="Minion Pro"/>
          <w:b/>
          <w:sz w:val="25"/>
          <w:szCs w:val="25"/>
        </w:rPr>
        <w:t>DATED:</w:t>
      </w:r>
      <w:r w:rsidRPr="00BC2C21">
        <w:rPr>
          <w:rFonts w:ascii="Minion Pro" w:eastAsia="Minion Pro" w:hAnsi="Minion Pro" w:cs="Minion Pro"/>
          <w:sz w:val="25"/>
          <w:szCs w:val="25"/>
        </w:rPr>
        <w:tab/>
        <w:t>07/01/2018</w:t>
      </w:r>
    </w:p>
    <w:p w:rsidR="00084C4E" w:rsidRPr="00084C4E" w:rsidRDefault="00084C4E" w:rsidP="00084C4E">
      <w:pPr>
        <w:rPr>
          <w:lang w:val="en-IN"/>
        </w:rPr>
      </w:pPr>
    </w:p>
    <w:p w:rsidR="00E869DF" w:rsidRPr="00084C4E" w:rsidRDefault="00084C4E" w:rsidP="00084C4E">
      <w:pPr>
        <w:tabs>
          <w:tab w:val="left" w:pos="2490"/>
        </w:tabs>
        <w:rPr>
          <w:lang w:val="en-IN"/>
        </w:rPr>
      </w:pPr>
      <w:bookmarkStart w:id="0" w:name="_GoBack"/>
      <w:bookmarkEnd w:id="0"/>
      <w:r>
        <w:rPr>
          <w:lang w:val="en-IN"/>
        </w:rPr>
        <w:tab/>
      </w:r>
    </w:p>
    <w:sectPr w:rsidR="00E869DF" w:rsidRPr="00084C4E" w:rsidSect="00A91370">
      <w:headerReference w:type="default" r:id="rId11"/>
      <w:footerReference w:type="default" r:id="rId12"/>
      <w:pgSz w:w="11906" w:h="16838"/>
      <w:pgMar w:top="720" w:right="720" w:bottom="720" w:left="720" w:header="79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9E" w:rsidRDefault="00FA7D9E" w:rsidP="00AD0D8B">
      <w:pPr>
        <w:spacing w:after="0" w:line="240" w:lineRule="auto"/>
      </w:pPr>
      <w:r>
        <w:separator/>
      </w:r>
    </w:p>
  </w:endnote>
  <w:endnote w:type="continuationSeparator" w:id="0">
    <w:p w:rsidR="00FA7D9E" w:rsidRDefault="00FA7D9E" w:rsidP="00AD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EC" w:rsidRDefault="00A55BB3" w:rsidP="00A55BB3">
    <w:pPr>
      <w:autoSpaceDE w:val="0"/>
      <w:autoSpaceDN w:val="0"/>
      <w:adjustRightInd w:val="0"/>
      <w:spacing w:after="0" w:line="360" w:lineRule="auto"/>
      <w:rPr>
        <w:rFonts w:cstheme="minorHAnsi"/>
        <w:color w:val="DC0002"/>
        <w:sz w:val="20"/>
        <w:szCs w:val="20"/>
      </w:rPr>
    </w:pPr>
    <w:r>
      <w:rPr>
        <w:rFonts w:cstheme="minorHAnsi"/>
        <w:color w:val="DC0002"/>
        <w:sz w:val="20"/>
        <w:szCs w:val="20"/>
      </w:rPr>
      <w:t xml:space="preserve">                                                                                                                                          </w:t>
    </w:r>
  </w:p>
  <w:p w:rsidR="002605CB" w:rsidRPr="00F84520" w:rsidRDefault="002605CB" w:rsidP="002605CB">
    <w:pPr>
      <w:autoSpaceDE w:val="0"/>
      <w:autoSpaceDN w:val="0"/>
      <w:adjustRightInd w:val="0"/>
      <w:spacing w:after="0" w:line="360" w:lineRule="auto"/>
      <w:jc w:val="center"/>
      <w:rPr>
        <w:rFonts w:cstheme="minorHAnsi"/>
        <w:sz w:val="20"/>
        <w:szCs w:val="20"/>
      </w:rPr>
    </w:pPr>
    <w:r w:rsidRPr="00F84520">
      <w:rPr>
        <w:rFonts w:cstheme="minorHAnsi"/>
        <w:color w:val="000AEB"/>
        <w:sz w:val="20"/>
        <w:szCs w:val="20"/>
      </w:rPr>
      <w:t xml:space="preserve"> </w:t>
    </w:r>
    <w:proofErr w:type="gramStart"/>
    <w:r w:rsidRPr="00BC707E">
      <w:rPr>
        <w:rFonts w:cstheme="minorHAnsi"/>
        <w:b/>
        <w:color w:val="DC0002"/>
        <w:sz w:val="20"/>
        <w:szCs w:val="20"/>
      </w:rPr>
      <w:t>e-mail</w:t>
    </w:r>
    <w:proofErr w:type="gramEnd"/>
    <w:r w:rsidRPr="00BC707E">
      <w:rPr>
        <w:rFonts w:cstheme="minorHAnsi"/>
        <w:b/>
        <w:color w:val="DC0002"/>
        <w:sz w:val="20"/>
        <w:szCs w:val="20"/>
      </w:rPr>
      <w:t>:</w:t>
    </w:r>
    <w:r w:rsidRPr="00F84520">
      <w:rPr>
        <w:rFonts w:cstheme="minorHAnsi"/>
        <w:color w:val="DC0002"/>
        <w:sz w:val="20"/>
        <w:szCs w:val="20"/>
      </w:rPr>
      <w:t xml:space="preserve"> </w:t>
    </w:r>
    <w:hyperlink r:id="rId1" w:history="1">
      <w:r w:rsidR="00AB5EBD" w:rsidRPr="00CC2BF3">
        <w:rPr>
          <w:rStyle w:val="Hyperlink"/>
          <w:rFonts w:cstheme="minorHAnsi"/>
          <w:sz w:val="20"/>
          <w:szCs w:val="20"/>
        </w:rPr>
        <w:t>sales@intelligent-comms.com</w:t>
      </w:r>
    </w:hyperlink>
    <w:r w:rsidR="00AB5EBD">
      <w:rPr>
        <w:rFonts w:cstheme="minorHAnsi"/>
        <w:color w:val="22429E"/>
        <w:sz w:val="20"/>
        <w:szCs w:val="20"/>
      </w:rPr>
      <w:t xml:space="preserve">                             </w:t>
    </w:r>
    <w:r w:rsidRPr="00084C4E">
      <w:rPr>
        <w:rFonts w:cstheme="minorHAnsi"/>
        <w:color w:val="22429E"/>
        <w:sz w:val="20"/>
        <w:szCs w:val="20"/>
      </w:rPr>
      <w:t xml:space="preserve"> </w:t>
    </w:r>
    <w:r w:rsidRPr="00F84520">
      <w:rPr>
        <w:rFonts w:cstheme="minorHAnsi"/>
        <w:color w:val="000000" w:themeColor="text1"/>
        <w:sz w:val="20"/>
        <w:szCs w:val="20"/>
      </w:rPr>
      <w:t xml:space="preserve">| </w:t>
    </w:r>
    <w:r w:rsidR="00AB5EBD">
      <w:rPr>
        <w:rFonts w:cstheme="minorHAnsi"/>
        <w:color w:val="000000" w:themeColor="text1"/>
        <w:sz w:val="20"/>
        <w:szCs w:val="20"/>
      </w:rPr>
      <w:t xml:space="preserve">                              </w:t>
    </w:r>
    <w:r w:rsidRPr="00BC707E">
      <w:rPr>
        <w:rFonts w:cstheme="minorHAnsi"/>
        <w:b/>
        <w:color w:val="DC0002"/>
        <w:sz w:val="20"/>
        <w:szCs w:val="20"/>
      </w:rPr>
      <w:t>website:</w:t>
    </w:r>
    <w:r w:rsidRPr="00F84520">
      <w:rPr>
        <w:rFonts w:cstheme="minorHAnsi"/>
        <w:color w:val="DC0002"/>
        <w:sz w:val="20"/>
        <w:szCs w:val="20"/>
      </w:rPr>
      <w:t xml:space="preserve"> </w:t>
    </w:r>
    <w:r w:rsidR="00BC707E" w:rsidRPr="00084C4E">
      <w:rPr>
        <w:rFonts w:cstheme="minorHAnsi"/>
        <w:color w:val="22429E"/>
        <w:sz w:val="20"/>
        <w:szCs w:val="20"/>
      </w:rPr>
      <w:t>www.intelligent-comms.com</w:t>
    </w:r>
  </w:p>
  <w:p w:rsidR="002605CB" w:rsidRPr="00F84520" w:rsidRDefault="00BC707E" w:rsidP="002605CB">
    <w:pPr>
      <w:jc w:val="center"/>
      <w:rPr>
        <w:rFonts w:cstheme="minorHAnsi"/>
        <w:b/>
        <w:bCs/>
        <w:sz w:val="18"/>
        <w:szCs w:val="18"/>
      </w:rPr>
    </w:pPr>
    <w:r>
      <w:rPr>
        <w:rFonts w:cstheme="minorHAnsi"/>
        <w:b/>
        <w:bCs/>
        <w:sz w:val="18"/>
        <w:szCs w:val="18"/>
      </w:rPr>
      <w:t xml:space="preserve">UK </w:t>
    </w:r>
    <w:r w:rsidR="002605CB" w:rsidRPr="00F84520">
      <w:rPr>
        <w:rFonts w:cstheme="minorHAnsi"/>
        <w:b/>
        <w:bCs/>
        <w:sz w:val="18"/>
        <w:szCs w:val="18"/>
      </w:rPr>
      <w:t xml:space="preserve">Company </w:t>
    </w:r>
    <w:r>
      <w:rPr>
        <w:rFonts w:cstheme="minorHAnsi"/>
        <w:b/>
        <w:bCs/>
        <w:sz w:val="18"/>
        <w:szCs w:val="18"/>
      </w:rPr>
      <w:t xml:space="preserve">Registered No </w:t>
    </w:r>
    <w:r w:rsidR="00AB5EBD" w:rsidRPr="00AB5EBD">
      <w:rPr>
        <w:rFonts w:cstheme="minorHAnsi"/>
        <w:b/>
        <w:bCs/>
        <w:sz w:val="18"/>
        <w:szCs w:val="18"/>
      </w:rPr>
      <w:t>11324824</w:t>
    </w:r>
    <w:r w:rsidR="002605CB">
      <w:rPr>
        <w:rFonts w:cstheme="minorHAnsi"/>
        <w:b/>
        <w:bCs/>
        <w:sz w:val="18"/>
        <w:szCs w:val="18"/>
      </w:rPr>
      <w:t xml:space="preserve">  </w:t>
    </w:r>
    <w:r>
      <w:rPr>
        <w:rFonts w:cstheme="minorHAnsi"/>
        <w:b/>
        <w:bCs/>
        <w:sz w:val="18"/>
        <w:szCs w:val="18"/>
      </w:rPr>
      <w:t xml:space="preserve">          </w:t>
    </w:r>
    <w:r w:rsidR="00AB5EBD">
      <w:rPr>
        <w:rFonts w:cstheme="minorHAnsi"/>
        <w:b/>
        <w:bCs/>
        <w:sz w:val="18"/>
        <w:szCs w:val="18"/>
      </w:rPr>
      <w:t xml:space="preserve">                                                              </w:t>
    </w:r>
    <w:r>
      <w:rPr>
        <w:rFonts w:cstheme="minorHAnsi"/>
        <w:b/>
        <w:bCs/>
        <w:sz w:val="18"/>
        <w:szCs w:val="18"/>
      </w:rPr>
      <w:t xml:space="preserve">                          </w:t>
    </w:r>
    <w:r w:rsidR="002605CB">
      <w:rPr>
        <w:rFonts w:cstheme="minorHAnsi"/>
        <w:b/>
        <w:bCs/>
        <w:sz w:val="18"/>
        <w:szCs w:val="18"/>
      </w:rPr>
      <w:t xml:space="preserve"> </w:t>
    </w:r>
    <w:r w:rsidR="00377FBC">
      <w:rPr>
        <w:rFonts w:cstheme="minorHAnsi"/>
        <w:b/>
        <w:bCs/>
        <w:sz w:val="18"/>
        <w:szCs w:val="18"/>
      </w:rPr>
      <w:t>VAT Number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9E" w:rsidRDefault="00FA7D9E" w:rsidP="00AD0D8B">
      <w:pPr>
        <w:spacing w:after="0" w:line="240" w:lineRule="auto"/>
      </w:pPr>
      <w:r>
        <w:separator/>
      </w:r>
    </w:p>
  </w:footnote>
  <w:footnote w:type="continuationSeparator" w:id="0">
    <w:p w:rsidR="00FA7D9E" w:rsidRDefault="00FA7D9E" w:rsidP="00AD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8E" w:rsidRPr="0009548E" w:rsidRDefault="0009548E" w:rsidP="0009548E">
    <w:pPr>
      <w:pStyle w:val="Header"/>
      <w:ind w:right="110"/>
      <w:jc w:val="right"/>
      <w:rPr>
        <w:b/>
      </w:rPr>
    </w:pPr>
    <w:r w:rsidRPr="0009548E">
      <w:rPr>
        <w:b/>
      </w:rPr>
      <w:t xml:space="preserve">Intelligent </w:t>
    </w:r>
    <w:proofErr w:type="spellStart"/>
    <w:r w:rsidRPr="0009548E">
      <w:rPr>
        <w:b/>
      </w:rPr>
      <w:t>Comms</w:t>
    </w:r>
    <w:proofErr w:type="spellEnd"/>
    <w:r w:rsidRPr="0009548E">
      <w:rPr>
        <w:b/>
      </w:rPr>
      <w:t xml:space="preserve"> Limited</w:t>
    </w:r>
  </w:p>
  <w:p w:rsidR="0009548E" w:rsidRDefault="0009548E" w:rsidP="0009548E">
    <w:pPr>
      <w:pStyle w:val="Header"/>
      <w:ind w:right="110"/>
      <w:jc w:val="right"/>
    </w:pPr>
    <w:r>
      <w:t>71-75 Shelton Street</w:t>
    </w:r>
  </w:p>
  <w:p w:rsidR="0009548E" w:rsidRDefault="0009548E" w:rsidP="0009548E">
    <w:pPr>
      <w:pStyle w:val="Header"/>
      <w:ind w:right="110"/>
      <w:jc w:val="right"/>
    </w:pPr>
    <w:r>
      <w:t>London</w:t>
    </w:r>
  </w:p>
  <w:p w:rsidR="0009548E" w:rsidRDefault="0009548E" w:rsidP="0009548E">
    <w:pPr>
      <w:pStyle w:val="Header"/>
      <w:ind w:right="110"/>
      <w:jc w:val="right"/>
    </w:pPr>
    <w:r>
      <w:t>WC2H 9JQ</w:t>
    </w:r>
  </w:p>
  <w:p w:rsidR="002605CB" w:rsidRDefault="0009548E" w:rsidP="0009548E">
    <w:pPr>
      <w:pStyle w:val="Header"/>
      <w:ind w:right="110"/>
      <w:jc w:val="right"/>
    </w:pPr>
    <w:r>
      <w:t>United Kingdom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9651D"/>
    <w:multiLevelType w:val="multilevel"/>
    <w:tmpl w:val="8D3C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8B"/>
    <w:rsid w:val="00084C4E"/>
    <w:rsid w:val="0009548E"/>
    <w:rsid w:val="0013219B"/>
    <w:rsid w:val="00224A0A"/>
    <w:rsid w:val="002518A3"/>
    <w:rsid w:val="002605CB"/>
    <w:rsid w:val="00377FBC"/>
    <w:rsid w:val="00380543"/>
    <w:rsid w:val="003A09F7"/>
    <w:rsid w:val="004052BD"/>
    <w:rsid w:val="00432323"/>
    <w:rsid w:val="004524F4"/>
    <w:rsid w:val="004B2E3B"/>
    <w:rsid w:val="005952AF"/>
    <w:rsid w:val="00617299"/>
    <w:rsid w:val="00637975"/>
    <w:rsid w:val="007076EC"/>
    <w:rsid w:val="00756CCB"/>
    <w:rsid w:val="009A7ED3"/>
    <w:rsid w:val="009B03E4"/>
    <w:rsid w:val="00A55BB3"/>
    <w:rsid w:val="00A91370"/>
    <w:rsid w:val="00AB5EBD"/>
    <w:rsid w:val="00AD0D8B"/>
    <w:rsid w:val="00BC707E"/>
    <w:rsid w:val="00BE7D23"/>
    <w:rsid w:val="00C80BAA"/>
    <w:rsid w:val="00D237C5"/>
    <w:rsid w:val="00D417DA"/>
    <w:rsid w:val="00D41B6A"/>
    <w:rsid w:val="00E869DF"/>
    <w:rsid w:val="00EF6BCC"/>
    <w:rsid w:val="00F72045"/>
    <w:rsid w:val="00F84520"/>
    <w:rsid w:val="00FA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D8B"/>
  </w:style>
  <w:style w:type="paragraph" w:styleId="Footer">
    <w:name w:val="footer"/>
    <w:basedOn w:val="Normal"/>
    <w:link w:val="FooterChar"/>
    <w:uiPriority w:val="99"/>
    <w:unhideWhenUsed/>
    <w:rsid w:val="00AD0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D8B"/>
  </w:style>
  <w:style w:type="paragraph" w:styleId="BalloonText">
    <w:name w:val="Balloon Text"/>
    <w:basedOn w:val="Normal"/>
    <w:link w:val="BalloonTextChar"/>
    <w:uiPriority w:val="99"/>
    <w:semiHidden/>
    <w:unhideWhenUsed/>
    <w:rsid w:val="00AD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45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524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D8B"/>
  </w:style>
  <w:style w:type="paragraph" w:styleId="Footer">
    <w:name w:val="footer"/>
    <w:basedOn w:val="Normal"/>
    <w:link w:val="FooterChar"/>
    <w:uiPriority w:val="99"/>
    <w:unhideWhenUsed/>
    <w:rsid w:val="00AD0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D8B"/>
  </w:style>
  <w:style w:type="paragraph" w:styleId="BalloonText">
    <w:name w:val="Balloon Text"/>
    <w:basedOn w:val="Normal"/>
    <w:link w:val="BalloonTextChar"/>
    <w:uiPriority w:val="99"/>
    <w:semiHidden/>
    <w:unhideWhenUsed/>
    <w:rsid w:val="00AD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45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52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intelligent-com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0115-6115-49CB-8B6F-03934329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Tony Farrington</cp:lastModifiedBy>
  <cp:revision>2</cp:revision>
  <cp:lastPrinted>2015-08-18T15:17:00Z</cp:lastPrinted>
  <dcterms:created xsi:type="dcterms:W3CDTF">2018-06-28T20:51:00Z</dcterms:created>
  <dcterms:modified xsi:type="dcterms:W3CDTF">2018-06-28T20:51:00Z</dcterms:modified>
</cp:coreProperties>
</file>